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FEAA" w14:textId="77777777" w:rsidR="002D3D89" w:rsidRDefault="002D3D89">
      <w:pPr>
        <w:jc w:val="center"/>
      </w:pPr>
      <w:r>
        <w:rPr>
          <w:rFonts w:ascii="Liberation Sans" w:hAnsi="Liberation Sans"/>
          <w:b/>
          <w:bCs/>
          <w:sz w:val="24"/>
          <w:szCs w:val="24"/>
        </w:rPr>
        <w:t xml:space="preserve">TÜRKİYE ÇOCUK CERRAHİSİ </w:t>
      </w:r>
      <w:r>
        <w:rPr>
          <w:rFonts w:ascii="Liberation Sans" w:hAnsi="Liberation Sans"/>
          <w:b/>
          <w:bCs/>
          <w:sz w:val="24"/>
          <w:szCs w:val="24"/>
        </w:rPr>
        <w:br/>
      </w:r>
      <w:r w:rsidR="00C76678">
        <w:rPr>
          <w:rFonts w:ascii="Liberation Sans" w:hAnsi="Liberation Sans"/>
          <w:b/>
          <w:bCs/>
          <w:sz w:val="24"/>
          <w:szCs w:val="24"/>
        </w:rPr>
        <w:t xml:space="preserve">UZMANLIK </w:t>
      </w:r>
      <w:r>
        <w:rPr>
          <w:rFonts w:ascii="Liberation Sans" w:hAnsi="Liberation Sans"/>
          <w:b/>
          <w:bCs/>
          <w:sz w:val="24"/>
          <w:szCs w:val="24"/>
        </w:rPr>
        <w:t>YETERLİK KURULU</w:t>
      </w:r>
    </w:p>
    <w:p w14:paraId="0EEF842C" w14:textId="77777777" w:rsidR="002D3D89" w:rsidRDefault="002D3D89">
      <w:pPr>
        <w:pStyle w:val="Altyaz"/>
      </w:pPr>
      <w:r>
        <w:rPr>
          <w:b/>
          <w:bCs/>
          <w:sz w:val="24"/>
          <w:szCs w:val="24"/>
        </w:rPr>
        <w:t>EĞİTİM PROGRAMLARININ EŞYETKİLENDİRİLMESİ KOŞULLARI</w:t>
      </w:r>
    </w:p>
    <w:p w14:paraId="15AE393E" w14:textId="77777777" w:rsidR="002D3D89" w:rsidRDefault="002D3D89">
      <w:pPr>
        <w:spacing w:before="100" w:after="100" w:line="100" w:lineRule="atLeast"/>
        <w:jc w:val="both"/>
      </w:pPr>
      <w:r>
        <w:rPr>
          <w:rFonts w:ascii="Liberation Sans" w:eastAsia="Times New Roman" w:hAnsi="Liberation Sans" w:cs="Times New Roman"/>
          <w:b/>
          <w:sz w:val="24"/>
          <w:szCs w:val="24"/>
        </w:rPr>
        <w:t>Giriş</w:t>
      </w:r>
    </w:p>
    <w:p w14:paraId="57D6CE46" w14:textId="77777777" w:rsidR="002D3D89" w:rsidRDefault="002D3D89">
      <w:pPr>
        <w:spacing w:before="100" w:after="100" w:line="100" w:lineRule="atLeast"/>
        <w:jc w:val="both"/>
      </w:pPr>
      <w:r>
        <w:rPr>
          <w:rFonts w:ascii="Liberation Sans" w:eastAsia="Times New Roman" w:hAnsi="Liberation Sans" w:cs="Times New Roman"/>
          <w:sz w:val="24"/>
          <w:szCs w:val="24"/>
        </w:rPr>
        <w:t xml:space="preserve">Türkiye Çocuk Cerrahisi Yeterlik Kurulu’nun (TÇC-YK) amaçlarından birisi Türkiye Cumhuriyeti’ndeki çocuk cerrahisi eğitiminin standardize edilmesidir. Eğitim kalitesinin istenilen düzeyde olması amacıyla, çocuk cerrahisi eğitimi veren merkezlerin önceden tanımlanmış bazı kriterlere sahip olması beklenmektedir. </w:t>
      </w:r>
    </w:p>
    <w:p w14:paraId="66B42998" w14:textId="77777777" w:rsidR="002D3D89" w:rsidRDefault="002D3D89">
      <w:pPr>
        <w:spacing w:before="100" w:after="100" w:line="100" w:lineRule="atLeast"/>
        <w:jc w:val="both"/>
      </w:pPr>
      <w:r>
        <w:rPr>
          <w:rFonts w:ascii="Liberation Sans" w:eastAsia="Times New Roman" w:hAnsi="Liberation Sans" w:cs="Times New Roman"/>
          <w:b/>
          <w:sz w:val="24"/>
          <w:szCs w:val="24"/>
        </w:rPr>
        <w:t>Süreç</w:t>
      </w:r>
    </w:p>
    <w:p w14:paraId="28ACA814" w14:textId="77777777" w:rsidR="002D3D89" w:rsidRDefault="002D3D89">
      <w:pPr>
        <w:jc w:val="both"/>
      </w:pPr>
      <w:r>
        <w:rPr>
          <w:rFonts w:ascii="Liberation Sans" w:eastAsia="Times New Roman" w:hAnsi="Liberation Sans" w:cs="Times New Roman"/>
          <w:sz w:val="24"/>
          <w:szCs w:val="24"/>
        </w:rPr>
        <w:t>Çocuk cerrahisi eğitimi veren her merkez eşyetkilendirme amacıyla TÇC-YK’ye başvurabilir. Bu süreç eğitim merkezinin anabilim dalı başkanı/eğitim sorumlusunun sorumluluğunda yürütülmelidir. Bu amaçla, TÇC-YK ile gerçekleşecek her türlü iletişim, başvurunun yapılması ve kurum ziyaretinin düzenlenmesi anabilim dalı başkanı /eğitim sorumlusunun talebi ve gözetimi ile gerçekleştirilecektir</w:t>
      </w:r>
    </w:p>
    <w:p w14:paraId="02B8C469" w14:textId="77777777" w:rsidR="002D3D89" w:rsidRDefault="002D3D89">
      <w:pPr>
        <w:jc w:val="both"/>
      </w:pPr>
      <w:r>
        <w:rPr>
          <w:rFonts w:ascii="Liberation Sans" w:hAnsi="Liberation Sans"/>
          <w:sz w:val="24"/>
          <w:szCs w:val="24"/>
        </w:rPr>
        <w:t xml:space="preserve">Akreditasyon için başvuracak olan ‘Çocuk Cerrahisi Eğitim Kurumları’ndan istenen koşullar: </w:t>
      </w:r>
    </w:p>
    <w:p w14:paraId="0553AC04" w14:textId="77777777" w:rsidR="002D3D89" w:rsidRDefault="002D3D89">
      <w:pPr>
        <w:spacing w:after="240"/>
        <w:ind w:left="720"/>
        <w:jc w:val="both"/>
      </w:pPr>
      <w:r>
        <w:rPr>
          <w:rFonts w:ascii="Liberation Sans" w:hAnsi="Liberation Sans"/>
          <w:sz w:val="24"/>
          <w:szCs w:val="24"/>
        </w:rPr>
        <w:t xml:space="preserve">1. Başvuracak eğitim kurumunun eğitici kadrosu en az 3 eğiticiden (Prof., </w:t>
      </w:r>
      <w:proofErr w:type="gramStart"/>
      <w:r>
        <w:rPr>
          <w:rFonts w:ascii="Liberation Sans" w:hAnsi="Liberation Sans"/>
          <w:sz w:val="24"/>
          <w:szCs w:val="24"/>
        </w:rPr>
        <w:t>Doç.,Yard.Doç.</w:t>
      </w:r>
      <w:proofErr w:type="gramEnd"/>
      <w:r>
        <w:rPr>
          <w:rFonts w:ascii="Liberation Sans" w:hAnsi="Liberation Sans"/>
          <w:sz w:val="24"/>
          <w:szCs w:val="24"/>
        </w:rPr>
        <w:t xml:space="preserve">, Şef, Şef Yard.) oluşmalıdır. Tıp fakültesi çocuk cerrahisi anabilim dallarında bunlardan en az biri profesör ya da doçent, Sağlık Bakanlığı kliniklerinde ise en az biri şef kadrosunda görev yapmalıdır. </w:t>
      </w:r>
      <w:r>
        <w:rPr>
          <w:rFonts w:ascii="Liberation Sans" w:hAnsi="Liberation Sans"/>
          <w:sz w:val="24"/>
          <w:szCs w:val="24"/>
        </w:rPr>
        <w:br/>
        <w:t xml:space="preserve">2. Eğitim kurumunun yıllık ameliyat sayısı en az 500 olmalıdır. Ayrıca, yıllık ameliyat sayısının %50 kadarının, uzmanlık öğrencisi eğitiminde önemli olan günübirlik cerrahi olgulardan oluşması istenmektedir. Poliklinik hasta sayısı, yıllık ameliyat sayısının en az 2 katı olmalıdır. Kurumda en az 20 hasta yatağı bulunmalı ve bunun da en az %10’u (2 yatak) yoğun bakım için, diğer bir %10’u da (2 yatak) yenidoğan yatağı olarak (kuvöz ya da açık sistem) kullanılmalıdır. </w:t>
      </w:r>
      <w:r>
        <w:rPr>
          <w:rFonts w:ascii="Liberation Sans" w:hAnsi="Liberation Sans"/>
          <w:sz w:val="24"/>
          <w:szCs w:val="24"/>
        </w:rPr>
        <w:br/>
      </w:r>
      <w:r>
        <w:rPr>
          <w:rFonts w:ascii="Liberation Sans" w:hAnsi="Liberation Sans"/>
          <w:sz w:val="24"/>
          <w:szCs w:val="24"/>
        </w:rPr>
        <w:br/>
        <w:t xml:space="preserve">3. Yukarıda ana çizgileri belirtilen bir çocuk cerrahisi eğitim kurumunun ideal hemşire sayısı 20 olarak saptanmış olmakla beraber, kurum politikaları ve elde olmayan zorunluluklar nedeniyle bu sayıda değişiklikler olabilir. </w:t>
      </w:r>
      <w:r>
        <w:rPr>
          <w:rFonts w:ascii="Liberation Sans" w:hAnsi="Liberation Sans"/>
          <w:sz w:val="24"/>
          <w:szCs w:val="24"/>
        </w:rPr>
        <w:br/>
      </w:r>
      <w:r>
        <w:rPr>
          <w:rFonts w:ascii="Liberation Sans" w:hAnsi="Liberation Sans"/>
          <w:sz w:val="24"/>
          <w:szCs w:val="24"/>
        </w:rPr>
        <w:br/>
        <w:t>4. Yıllık ameliyat sayısı 500 olan kurumlar için eğitim verebileceği uzmanlık öğrencisi sayısının 1 (bir) olması ve bu sayının aşılmaması istenmektedir. Yıllık toplam ameliyat sayısındaki her 100 artış için uzmanlık öğrencisi sayısı 1 (bir) artırılabilir (örneğin, yıllık 700 ameliyat sayısı olan bir kurum 3 uzmanlık öğrencisine eğitim verebilir).</w:t>
      </w:r>
    </w:p>
    <w:p w14:paraId="75FACDF3" w14:textId="77777777" w:rsidR="002D3D89" w:rsidRDefault="002D3D89">
      <w:pPr>
        <w:spacing w:after="240"/>
        <w:ind w:left="720"/>
        <w:jc w:val="both"/>
      </w:pPr>
      <w:r>
        <w:rPr>
          <w:rFonts w:ascii="Liberation Sans" w:hAnsi="Liberation Sans"/>
          <w:sz w:val="24"/>
          <w:szCs w:val="24"/>
        </w:rPr>
        <w:t>5. Kurum içerisinde 24 saat hizmet verebilecek bir Çocuk Acil Ünitesi ve endoskopik tanı ve tedavi olanaklarına da sahip, her tür acil hizmeti verebilecek modern bir ameliyathane bulunmalıdır.</w:t>
      </w:r>
    </w:p>
    <w:p w14:paraId="31BBD276" w14:textId="77777777" w:rsidR="002D3D89" w:rsidRDefault="002D3D89">
      <w:pPr>
        <w:spacing w:after="240"/>
        <w:ind w:left="720"/>
        <w:jc w:val="both"/>
      </w:pPr>
      <w:r>
        <w:rPr>
          <w:rFonts w:ascii="Liberation Sans" w:hAnsi="Liberation Sans"/>
          <w:sz w:val="24"/>
          <w:szCs w:val="24"/>
        </w:rPr>
        <w:t xml:space="preserve">6. Başvuran kurumun, bir üniversite tıp fakültesi ya da Sağlık Bakanlığı bünyesindeki bir eğitim hastanesine bağlı olma zorunluluğu vardır. Başvuru yapan kurumun bir çocuk hastanesi bünyesinde olması önemli bir avantaj </w:t>
      </w:r>
      <w:r>
        <w:rPr>
          <w:rFonts w:ascii="Liberation Sans" w:hAnsi="Liberation Sans"/>
          <w:sz w:val="24"/>
          <w:szCs w:val="24"/>
        </w:rPr>
        <w:lastRenderedPageBreak/>
        <w:t>kabul edilir. Sağlık Bakanlığı Eğitim Hastaneleri’ndeki çocuk cerrahisi kliniklerinin, üniversite hastaneleri ile afiliye olarak ortak bir çalışma ve eğitim programlarının oluşturulması da önemli bir tercih nedenidir.</w:t>
      </w:r>
    </w:p>
    <w:p w14:paraId="0D85D8DB" w14:textId="77777777" w:rsidR="002D3D89" w:rsidRDefault="002D3D89">
      <w:pPr>
        <w:spacing w:after="240"/>
        <w:ind w:left="720"/>
        <w:jc w:val="both"/>
      </w:pPr>
      <w:r>
        <w:rPr>
          <w:rFonts w:ascii="Liberation Sans" w:hAnsi="Liberation Sans"/>
          <w:sz w:val="24"/>
          <w:szCs w:val="24"/>
        </w:rPr>
        <w:t xml:space="preserve">7. Ameliyat ve poliklinik sayılarının azlığı nedeniyle gerekli koşulları tamamlayamayan ya da yüksek sayıda hasta ve ameliyat sayıları olmasına karşın uzmanlık öğrencisi sayısındaki fazlalık nedeniyle, eğitilen kişi başına düşen hasta ve ameliyat sayısı göreceli olarak eksik kalan eğitim kurumlarının, aralarında birleşerek ortak bir eğitim programı oluşturmaları, uzmanlık öğrencisi başına düşen hasta ve ameliyat sayılarını artırmaları ve sonuçta ortak başvuru yapmaları mümkündür. Dileyen kurumlar, bu şekilde ortak bir eğitim programının akredite olmasını talep edebilirler. Bilindiği gibi bu sistem pek çok yurtdışı kurumda uygulanan, geçerliliği ve yararlılığı kanıtlanmış bir uygulamadır. </w:t>
      </w:r>
      <w:r>
        <w:rPr>
          <w:rFonts w:ascii="Liberation Sans" w:hAnsi="Liberation Sans"/>
          <w:sz w:val="24"/>
          <w:szCs w:val="24"/>
        </w:rPr>
        <w:br/>
      </w:r>
      <w:r>
        <w:rPr>
          <w:rFonts w:ascii="Liberation Sans" w:hAnsi="Liberation Sans"/>
          <w:sz w:val="24"/>
          <w:szCs w:val="24"/>
        </w:rPr>
        <w:br/>
        <w:t xml:space="preserve">8. Başvuran kurumun bulunduğu hastane ortamında; </w:t>
      </w:r>
    </w:p>
    <w:p w14:paraId="62DCF0D2" w14:textId="77777777" w:rsidR="002D3D89" w:rsidRDefault="002D3D89">
      <w:pPr>
        <w:spacing w:after="0"/>
        <w:ind w:left="1440"/>
        <w:jc w:val="both"/>
      </w:pPr>
      <w:r>
        <w:rPr>
          <w:rFonts w:ascii="Liberation Sans" w:hAnsi="Liberation Sans"/>
          <w:sz w:val="24"/>
          <w:szCs w:val="24"/>
        </w:rPr>
        <w:t xml:space="preserve">a) Aynı kurum çatısı altında Çocuk Sağlığı ve Hastalıkları uzmanlık eğitimi veren bir dal bulunmalıdır. </w:t>
      </w:r>
    </w:p>
    <w:p w14:paraId="510F8905" w14:textId="77777777" w:rsidR="002D3D89" w:rsidRDefault="002D3D89">
      <w:pPr>
        <w:ind w:left="720"/>
        <w:jc w:val="both"/>
        <w:rPr>
          <w:rFonts w:ascii="Liberation Sans" w:hAnsi="Liberation Sans"/>
          <w:sz w:val="24"/>
          <w:szCs w:val="24"/>
        </w:rPr>
      </w:pPr>
    </w:p>
    <w:p w14:paraId="5C0871C3" w14:textId="77777777" w:rsidR="002D3D89" w:rsidRDefault="002D3D89">
      <w:pPr>
        <w:ind w:left="1440"/>
        <w:jc w:val="both"/>
      </w:pPr>
      <w:r>
        <w:rPr>
          <w:rFonts w:ascii="Liberation Sans" w:hAnsi="Liberation Sans"/>
          <w:sz w:val="24"/>
          <w:szCs w:val="24"/>
        </w:rPr>
        <w:t xml:space="preserve">b) Anestezi ve Reanimasyon, Patoloji, Radyoloji, Nükleer Tıp bölüm ya da servislerinin varlığı gereklidir. </w:t>
      </w:r>
    </w:p>
    <w:p w14:paraId="4B0123BA" w14:textId="77777777" w:rsidR="002D3D89" w:rsidRDefault="002D3D89">
      <w:pPr>
        <w:ind w:left="1440"/>
        <w:jc w:val="both"/>
      </w:pPr>
      <w:r>
        <w:rPr>
          <w:rFonts w:ascii="Liberation Sans" w:hAnsi="Liberation Sans"/>
          <w:sz w:val="24"/>
          <w:szCs w:val="24"/>
        </w:rPr>
        <w:t xml:space="preserve">Kalp-Damar Cerrahisi, KBB Hastalıkları, Göz Hastalıkları, Kadın Hastalıkları ve Doğum, Beyin Cerrahisi, Çocuk Psikiyatrisi, Ortopedi ve Travmatoloji gibi bölümlerin en az ikisinin yataklı servis düzeyinde bulunması, yataklı servisi olmayanların ise uzman düzeyinde hizmet vermesi tercih edilir. </w:t>
      </w:r>
    </w:p>
    <w:p w14:paraId="05C460E7" w14:textId="77777777" w:rsidR="002D3D89" w:rsidRDefault="002D3D89">
      <w:pPr>
        <w:ind w:left="1440"/>
        <w:jc w:val="both"/>
      </w:pPr>
      <w:r>
        <w:rPr>
          <w:rFonts w:ascii="Liberation Sans" w:hAnsi="Liberation Sans"/>
          <w:sz w:val="24"/>
          <w:szCs w:val="24"/>
        </w:rPr>
        <w:t xml:space="preserve">c) Çocuk Sağlığı ve Hastalıkları yan dal uzmanlarının (yenidoğan, nefroloji, onkoloji, hematoloji, gastroentereoloji, endokrin) ve perinatoloji ve yoğun bakım birimlerinin bulunması önemli bir tercih nedenidir. </w:t>
      </w:r>
    </w:p>
    <w:p w14:paraId="59C63896" w14:textId="77777777" w:rsidR="002D3D89" w:rsidRDefault="002D3D89">
      <w:pPr>
        <w:ind w:left="1440"/>
        <w:jc w:val="both"/>
      </w:pPr>
      <w:r>
        <w:rPr>
          <w:rFonts w:ascii="Liberation Sans" w:hAnsi="Liberation Sans"/>
          <w:sz w:val="24"/>
          <w:szCs w:val="24"/>
        </w:rPr>
        <w:t xml:space="preserve">d) Kurumun bulunduğu hastanede 24 saat hizmet verebilecek laboratuvar olanakları bulunmalıdır. </w:t>
      </w:r>
    </w:p>
    <w:p w14:paraId="2475B4F3" w14:textId="77777777" w:rsidR="002D3D89" w:rsidRDefault="002D3D89">
      <w:pPr>
        <w:ind w:left="1440"/>
        <w:jc w:val="both"/>
      </w:pPr>
      <w:r>
        <w:rPr>
          <w:rFonts w:ascii="Liberation Sans" w:hAnsi="Liberation Sans"/>
          <w:sz w:val="24"/>
          <w:szCs w:val="24"/>
        </w:rPr>
        <w:t xml:space="preserve">e) Madde 6’da belirtildiği gibi kurum bir çocuk hastanesi bünyesinde bulunmaktaysa Madde 8b’de öne sürülen koşullar akreditasyon komisyonu tarafından, Çocuk Hastanesinin işlevi göz önüne alınarak yeniden değerlendirilebilir. </w:t>
      </w:r>
    </w:p>
    <w:p w14:paraId="52AB9BAD" w14:textId="77777777" w:rsidR="002D3D89" w:rsidRDefault="002D3D89">
      <w:pPr>
        <w:ind w:left="720"/>
        <w:jc w:val="both"/>
      </w:pPr>
      <w:r>
        <w:rPr>
          <w:rFonts w:ascii="Liberation Sans" w:hAnsi="Liberation Sans"/>
          <w:sz w:val="24"/>
          <w:szCs w:val="24"/>
        </w:rPr>
        <w:t xml:space="preserve">9. Kurumca hazırlanan ve uygulanmakta olan eğitimin programının ana hatlarının ve işlevsel etkinliğinin belgelendirilmesi için bir uzmanlık öğrencisi karnesinin bulunması ve o kuruma özgü bir eğitim programının olması zorunluluğu vardır. Haftalık ve aylık eğitim programı içerisinde cerrahi endikasyon toplantısı, makale saati, mortalite ve morbidite toplantılarının yanı sıra çocuk onkolojisi, çocuk nefrolojisi – ürolojisi, perinatal tanı ve tedavi, cinsiyet anomalilileri konusunda multidisipliner toplantılar yapılıyor olmalıdır. Bu toplantı kararlarının yer aldığı karar kayıt defterlerinin bulunması ve ziyaret sırasında istendiğinde ulaşılabilmesi, jüri üyelerine sunulabilmesi </w:t>
      </w:r>
      <w:r>
        <w:rPr>
          <w:rFonts w:ascii="Liberation Sans" w:hAnsi="Liberation Sans"/>
          <w:sz w:val="24"/>
          <w:szCs w:val="24"/>
        </w:rPr>
        <w:lastRenderedPageBreak/>
        <w:t xml:space="preserve">gerekmektedir. </w:t>
      </w:r>
      <w:r>
        <w:rPr>
          <w:rFonts w:ascii="Liberation Sans" w:hAnsi="Liberation Sans"/>
          <w:sz w:val="24"/>
          <w:szCs w:val="24"/>
        </w:rPr>
        <w:br/>
      </w:r>
      <w:r>
        <w:rPr>
          <w:rFonts w:ascii="Liberation Sans" w:hAnsi="Liberation Sans"/>
          <w:sz w:val="24"/>
          <w:szCs w:val="24"/>
        </w:rPr>
        <w:br/>
        <w:t xml:space="preserve">10. Klinik içerisinde yeterli bir kaynak kitap (textbook) ve dergi birikimi, internet kanalı ile dergilere erişim olanağı olan bir kütüphane bulunmalıdır. </w:t>
      </w:r>
      <w:r>
        <w:rPr>
          <w:rFonts w:ascii="Liberation Sans" w:hAnsi="Liberation Sans"/>
          <w:sz w:val="24"/>
          <w:szCs w:val="24"/>
        </w:rPr>
        <w:br/>
      </w:r>
      <w:r>
        <w:rPr>
          <w:rFonts w:ascii="Liberation Sans" w:hAnsi="Liberation Sans"/>
          <w:sz w:val="24"/>
          <w:szCs w:val="24"/>
        </w:rPr>
        <w:br/>
        <w:t xml:space="preserve">11. Hayvan deneylerine olanak sağlayacak laboratuvar koşulları bulunmalıdır. </w:t>
      </w:r>
      <w:r>
        <w:rPr>
          <w:rFonts w:ascii="Liberation Sans" w:hAnsi="Liberation Sans"/>
          <w:sz w:val="24"/>
          <w:szCs w:val="24"/>
        </w:rPr>
        <w:br/>
      </w:r>
      <w:r>
        <w:rPr>
          <w:rFonts w:ascii="Liberation Sans" w:hAnsi="Liberation Sans"/>
          <w:sz w:val="24"/>
          <w:szCs w:val="24"/>
        </w:rPr>
        <w:br/>
        <w:t xml:space="preserve">12. Akredite olacak kurum, değerlendirme için gelecek olan jüri üyelerinin ulaşım ve konaklama masraflarının finansmanından sorumludur. </w:t>
      </w:r>
      <w:r>
        <w:rPr>
          <w:rFonts w:ascii="Liberation Sans" w:hAnsi="Liberation Sans"/>
          <w:sz w:val="24"/>
          <w:szCs w:val="24"/>
        </w:rPr>
        <w:br/>
      </w:r>
      <w:r>
        <w:rPr>
          <w:rFonts w:ascii="Liberation Sans" w:hAnsi="Liberation Sans"/>
          <w:sz w:val="24"/>
          <w:szCs w:val="24"/>
        </w:rPr>
        <w:br/>
      </w:r>
    </w:p>
    <w:p w14:paraId="1C802E0A" w14:textId="77777777" w:rsidR="002D3D89" w:rsidRDefault="002D3D89">
      <w:pPr>
        <w:spacing w:before="100" w:after="100" w:line="100" w:lineRule="atLeast"/>
        <w:jc w:val="both"/>
      </w:pPr>
      <w:r>
        <w:rPr>
          <w:rFonts w:ascii="Liberation Sans" w:eastAsia="Times New Roman" w:hAnsi="Liberation Sans" w:cs="Times New Roman"/>
          <w:b/>
          <w:sz w:val="24"/>
          <w:szCs w:val="24"/>
        </w:rPr>
        <w:t>BAŞVURU BASAMAKLARI</w:t>
      </w:r>
    </w:p>
    <w:p w14:paraId="7C730893" w14:textId="77777777" w:rsidR="002D3D89" w:rsidRDefault="002D3D89">
      <w:pPr>
        <w:pStyle w:val="ListParagraph"/>
        <w:numPr>
          <w:ilvl w:val="0"/>
          <w:numId w:val="1"/>
        </w:numPr>
        <w:jc w:val="both"/>
      </w:pPr>
      <w:r>
        <w:rPr>
          <w:rFonts w:ascii="Liberation Sans" w:hAnsi="Liberation Sans"/>
          <w:sz w:val="24"/>
          <w:szCs w:val="24"/>
        </w:rPr>
        <w:t xml:space="preserve">Başvuru formunu doldurunuz. </w:t>
      </w:r>
    </w:p>
    <w:p w14:paraId="641CF286" w14:textId="77777777" w:rsidR="002D3D89" w:rsidRDefault="002D3D89">
      <w:pPr>
        <w:pStyle w:val="ListParagraph"/>
        <w:numPr>
          <w:ilvl w:val="0"/>
          <w:numId w:val="1"/>
        </w:numPr>
        <w:jc w:val="both"/>
      </w:pPr>
      <w:r>
        <w:rPr>
          <w:rFonts w:ascii="Liberation Sans" w:hAnsi="Liberation Sans"/>
          <w:sz w:val="24"/>
          <w:szCs w:val="24"/>
        </w:rPr>
        <w:t xml:space="preserve">Form doldurulduktan ve imzalandıktan sonra posta ile Kurul başkanlığına (Prof. Dr. Hüseyin İlhan Eskişehir Osmangazi Üniversitesi Tıp Fakültesi Çocuk Cerrahisi Anabilim Dalı, Eskişehir) ve pdf olarak elektronik ortamda </w:t>
      </w:r>
      <w:r w:rsidR="00311A49">
        <w:rPr>
          <w:rFonts w:ascii="Liberation Sans" w:hAnsi="Liberation Sans"/>
          <w:sz w:val="24"/>
          <w:szCs w:val="24"/>
        </w:rPr>
        <w:t>cocukcer</w:t>
      </w:r>
      <w:r>
        <w:rPr>
          <w:rFonts w:ascii="Liberation Sans" w:hAnsi="Liberation Sans"/>
          <w:sz w:val="24"/>
          <w:szCs w:val="24"/>
        </w:rPr>
        <w:t>yetkur@</w:t>
      </w:r>
      <w:r w:rsidR="00311A49">
        <w:rPr>
          <w:rFonts w:ascii="Liberation Sans" w:hAnsi="Liberation Sans"/>
          <w:sz w:val="24"/>
          <w:szCs w:val="24"/>
        </w:rPr>
        <w:t>gmail.com</w:t>
      </w:r>
      <w:r>
        <w:rPr>
          <w:rFonts w:ascii="Liberation Sans" w:hAnsi="Liberation Sans"/>
          <w:sz w:val="24"/>
          <w:szCs w:val="24"/>
        </w:rPr>
        <w:t xml:space="preserve"> adresine gönderilmelidir.</w:t>
      </w:r>
    </w:p>
    <w:p w14:paraId="4590FA16" w14:textId="77777777" w:rsidR="002D3D89" w:rsidRDefault="002D3D89">
      <w:pPr>
        <w:pStyle w:val="ListParagraph"/>
        <w:numPr>
          <w:ilvl w:val="0"/>
          <w:numId w:val="1"/>
        </w:numPr>
        <w:jc w:val="both"/>
      </w:pPr>
      <w:r>
        <w:rPr>
          <w:rFonts w:ascii="Liberation Sans" w:hAnsi="Liberation Sans"/>
          <w:sz w:val="24"/>
          <w:szCs w:val="24"/>
        </w:rPr>
        <w:t xml:space="preserve">Başvuru formu Eğitim Kurumları/Programları Değerlendirme Komisyonu tarafından değerlendirilerek kurum ziyareti yapılmasına veya yapılmamasına karar verir. </w:t>
      </w:r>
    </w:p>
    <w:p w14:paraId="65D6FE0C" w14:textId="77777777" w:rsidR="002D3D89" w:rsidRDefault="002D3D89">
      <w:pPr>
        <w:pStyle w:val="ListParagraph"/>
        <w:numPr>
          <w:ilvl w:val="0"/>
          <w:numId w:val="1"/>
        </w:numPr>
        <w:jc w:val="both"/>
      </w:pPr>
      <w:r>
        <w:rPr>
          <w:rFonts w:ascii="Liberation Sans" w:hAnsi="Liberation Sans"/>
          <w:sz w:val="24"/>
          <w:szCs w:val="24"/>
        </w:rPr>
        <w:t xml:space="preserve">Akreditasyon Komisyonu’nun olumlu kararı sonrası belirleyeceği jüri üyeleri belirlenen tarihte ilgili kurumu ziyaret eder. Akreditasyon Komisyonu, jüri üyelerini kendi arasından seçebileceği gibi, TÇCD Yeterlik Kurulu Yönergesi’nde Akreditasyon Komisyonu üyesi olabilecek niteliklere sahip yeterlik genel kurulu üyelerini görevlendirebilir. </w:t>
      </w:r>
    </w:p>
    <w:p w14:paraId="03DD0D52" w14:textId="77777777" w:rsidR="002D3D89" w:rsidRDefault="002D3D89">
      <w:pPr>
        <w:pStyle w:val="ListParagraph"/>
        <w:numPr>
          <w:ilvl w:val="0"/>
          <w:numId w:val="1"/>
        </w:numPr>
        <w:jc w:val="both"/>
      </w:pPr>
      <w:r>
        <w:rPr>
          <w:rFonts w:ascii="Liberation Sans" w:hAnsi="Liberation Sans"/>
          <w:sz w:val="24"/>
          <w:szCs w:val="24"/>
        </w:rPr>
        <w:t>Kurum ziyareti sonucu jüri üyelerinin hazırladığı rapor ışığında ışığında, İlgili merkeze eşyetkilendirme belgesinin verilip verilmeyeceğine, Yeterlik Kurulu Akreditasyon Komisyonu ve Yeterlik Yürütme Kurulu tarafından karar verilir.</w:t>
      </w:r>
    </w:p>
    <w:p w14:paraId="5254B909" w14:textId="77777777" w:rsidR="002D3D89" w:rsidRDefault="002D3D89">
      <w:pPr>
        <w:pStyle w:val="ListParagraph"/>
        <w:numPr>
          <w:ilvl w:val="0"/>
          <w:numId w:val="1"/>
        </w:numPr>
        <w:jc w:val="both"/>
      </w:pPr>
      <w:r>
        <w:rPr>
          <w:rFonts w:ascii="Liberation Sans" w:hAnsi="Liberation Sans"/>
          <w:sz w:val="24"/>
          <w:szCs w:val="24"/>
        </w:rPr>
        <w:t>Yeterlik Yürütme Kurulu onayını aldıktan sonra kurumun akredite olması geçerlik kazanmış olur.</w:t>
      </w:r>
    </w:p>
    <w:p w14:paraId="174B7B98" w14:textId="77777777" w:rsidR="002D3D89" w:rsidRDefault="002D3D89">
      <w:pPr>
        <w:pStyle w:val="ListParagraph"/>
        <w:numPr>
          <w:ilvl w:val="0"/>
          <w:numId w:val="1"/>
        </w:numPr>
        <w:jc w:val="both"/>
      </w:pPr>
      <w:r>
        <w:rPr>
          <w:rFonts w:ascii="Liberation Sans" w:hAnsi="Liberation Sans"/>
          <w:sz w:val="24"/>
          <w:szCs w:val="24"/>
        </w:rPr>
        <w:t xml:space="preserve">Sonuç TÇC Yeterlilik Yürütme Kurulu Başkanı tarafından TÇC-YK ve TÇCD sayfasında resmen ilan edilir. Kurumun kazandığı sertifika, bir sonraki ulusal çocuk cerrahisi kongresinde; Yeterlik Kurulu Toplantısı ya da Değerlendirme Toplantısı sırasında Türkiye Çocuk Cerrahisi Yeterlik Kurulu Başkanı ve Türkiye Çocuk Cerrahisi Derneği Başkanı tarafından ilgili kurumun yöneticisine törenle verilir. </w:t>
      </w:r>
    </w:p>
    <w:sectPr w:rsidR="002D3D89">
      <w:pgSz w:w="11906" w:h="16838"/>
      <w:pgMar w:top="1417" w:right="1417" w:bottom="1417" w:left="1417" w:header="708" w:footer="708" w:gutter="0"/>
      <w:cols w:space="708"/>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874">
    <w:altName w:val="Calibri"/>
    <w:charset w:val="A2"/>
    <w:family w:val="auto"/>
    <w:pitch w:val="variable"/>
  </w:font>
  <w:font w:name="Liberation Sans">
    <w:altName w:val="Arial"/>
    <w:charset w:val="A2"/>
    <w:family w:val="swiss"/>
    <w:pitch w:val="variable"/>
    <w:sig w:usb0="E0000AFF" w:usb1="500078FF" w:usb2="00000021" w:usb3="00000000" w:csb0="000001BF" w:csb1="00000000"/>
  </w:font>
  <w:font w:name="Noto Sans CJK SC Regular">
    <w:charset w:val="01"/>
    <w:family w:val="auto"/>
    <w:pitch w:val="variable"/>
  </w:font>
  <w:font w:name="Lohit Devanagari">
    <w:altName w:val="Calibri"/>
    <w:charset w:val="01"/>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1A49"/>
    <w:rsid w:val="002D3D89"/>
    <w:rsid w:val="002F1A5A"/>
    <w:rsid w:val="00311A49"/>
    <w:rsid w:val="00C76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44D826F"/>
  <w15:chartTrackingRefBased/>
  <w15:docId w15:val="{C7F1FC3B-A6C1-4638-9517-D1DDEE05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SimSun" w:hAnsi="Calibri" w:cs="font874"/>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
    <w:name w:val="Default Paragraph Font"/>
  </w:style>
  <w:style w:type="character" w:styleId="Gl">
    <w:name w:val="Strong"/>
    <w:qFormat/>
    <w:rPr>
      <w:b/>
      <w:bCs/>
    </w:rPr>
  </w:style>
  <w:style w:type="paragraph" w:customStyle="1" w:styleId="Heading">
    <w:name w:val="Heading"/>
    <w:basedOn w:val="Normal"/>
    <w:next w:val="GvdeMetni"/>
    <w:pPr>
      <w:keepNext/>
      <w:spacing w:before="240" w:after="120"/>
    </w:pPr>
    <w:rPr>
      <w:rFonts w:ascii="Liberation Sans" w:eastAsia="Noto Sans CJK SC Regular" w:hAnsi="Liberation Sans" w:cs="Lohit Devanagari"/>
      <w:sz w:val="28"/>
      <w:szCs w:val="28"/>
    </w:rPr>
  </w:style>
  <w:style w:type="paragraph" w:styleId="GvdeMetni">
    <w:name w:val="Body Text"/>
    <w:basedOn w:val="Normal"/>
    <w:pPr>
      <w:spacing w:after="120"/>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stbalk">
    <w:name w:val="Üst başlık"/>
    <w:basedOn w:val="Normal"/>
    <w:next w:val="GvdeMetni"/>
    <w:pPr>
      <w:keepNext/>
      <w:spacing w:before="240" w:after="120"/>
    </w:pPr>
    <w:rPr>
      <w:rFonts w:ascii="Arial" w:eastAsia="Microsoft YaHei" w:hAnsi="Arial" w:cs="Lucida Sans"/>
      <w:sz w:val="28"/>
      <w:szCs w:val="28"/>
    </w:rPr>
  </w:style>
  <w:style w:type="paragraph" w:customStyle="1" w:styleId="Balk">
    <w:name w:val="Başlık"/>
    <w:basedOn w:val="Normal"/>
    <w:pPr>
      <w:suppressLineNumbers/>
      <w:spacing w:before="120" w:after="120"/>
    </w:pPr>
    <w:rPr>
      <w:rFonts w:cs="Lucida Sans"/>
      <w:i/>
      <w:iCs/>
      <w:sz w:val="24"/>
      <w:szCs w:val="24"/>
    </w:rPr>
  </w:style>
  <w:style w:type="paragraph" w:customStyle="1" w:styleId="Dizin">
    <w:name w:val="Dizin"/>
    <w:basedOn w:val="Normal"/>
    <w:pPr>
      <w:suppressLineNumbers/>
    </w:pPr>
    <w:rPr>
      <w:rFonts w:cs="Lucida Sans"/>
    </w:rPr>
  </w:style>
  <w:style w:type="paragraph" w:customStyle="1" w:styleId="ListParagraph">
    <w:name w:val="List Paragraph"/>
    <w:basedOn w:val="Normal"/>
    <w:pPr>
      <w:ind w:left="720"/>
    </w:pPr>
  </w:style>
  <w:style w:type="paragraph" w:styleId="Altyaz">
    <w:name w:val="Subtitle"/>
    <w:basedOn w:val="Heading"/>
    <w:next w:val="GvdeMetni"/>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Huseyin</cp:lastModifiedBy>
  <cp:revision>2</cp:revision>
  <cp:lastPrinted>1601-01-01T00:00:00Z</cp:lastPrinted>
  <dcterms:created xsi:type="dcterms:W3CDTF">2022-01-24T21:24:00Z</dcterms:created>
  <dcterms:modified xsi:type="dcterms:W3CDTF">2022-01-24T21:24:00Z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